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rsidR="00A77B3E"/>
    <w:p w:rsidR="00A77B3E">
      <w:pPr>
        <w:pStyle w:val="1"/>
      </w:pPr>
    </w:p>
    <w:p w:rsidR="00A77B3E">
      <w:pPr>
        <w:pStyle w:val="2"/>
      </w:pPr>
      <w:r>
        <w:t>I.</w:t>
      </w:r>
    </w:p>
    <w:p w:rsidR="00A77B3E">
      <w:pPr>
        <w:pStyle w:val="1"/>
      </w:pPr>
    </w:p>
    <w:p w:rsidR="00A77B3E">
      <w:pPr>
        <w:pStyle w:val="3"/>
      </w:pPr>
      <w:r>
        <w:t>Důvodová zpráva</w:t>
      </w:r>
    </w:p>
    <w:p w:rsidR="00A77B3E">
      <w:pPr>
        <w:pStyle w:val="4"/>
      </w:pPr>
      <w:r>
        <w:t>Návrh vyhlášky, kterou se mění vyhláška č. 362/2016 Sb., o podmínkách poskytnutí dotace ze státního rozpočtu v některých existujících expozičních situacích</w:t>
      </w:r>
    </w:p>
    <w:p w:rsidR="00A77B3E">
      <w:pPr>
        <w:pStyle w:val="1"/>
      </w:pPr>
    </w:p>
    <w:p w:rsidR="00A77B3E">
      <w:pPr>
        <w:pStyle w:val="5"/>
      </w:pPr>
      <w:r>
        <w:t>I. Obecná část</w:t>
      </w:r>
    </w:p>
    <w:p w:rsidR="00A77B3E">
      <w:pPr>
        <w:pStyle w:val="6"/>
      </w:pPr>
      <w:r>
        <w:t>1.</w:t>
      </w:r>
      <w:r>
        <w:t>   Popis obsahu návrhu právního předpisu s uvedením důvodů, které k jeho předložení vedou, a shrnutí základních zásad a nejdůležitějších změn, které oproti stávající právní úpravě zavádí.</w:t>
      </w:r>
    </w:p>
    <w:p w:rsidR="00A77B3E">
      <w:pPr>
        <w:pStyle w:val="7"/>
      </w:pPr>
      <w:r>
        <w:t>K vydání vyhlášky je Státní úřad pro jadernou bezpečnost („SÚJB“) zmocněn ustanovením § 236 zákona č. 263/2016 Sb., atomový zákon. Právní základ pro předmět novelizované vyhlášky č. 362/2016 Sb., o podmínkách poskytnutí dotace ze státního rozpočtu v některých existujících expozičních situacích, je stanoven v § 103 atomového zákona. Upravuje problematiku poskytování dotací v některých existujících expozičních situacích.</w:t>
      </w:r>
    </w:p>
    <w:p w:rsidR="00A77B3E">
      <w:pPr>
        <w:pStyle w:val="8"/>
      </w:pPr>
      <w:r>
        <w:t>Vyhláška o podmínkách poskytnutí dotace ze státního rozpočtu v některých existujících expozičních situacích stanovuje podmínky pro poskytnutí dotací, zatímco související vyhláška č. 464/2016 Sb., o postupu při poskytování dotace ze státního rozpočtu na přijetí opatření ke snížení míry ozáření z přítomnosti radonu a jeho produktů přeměny ve vnitřním ovzduší staveb pro bydlení a pobyt veřejnosti a na přijetí opatření ke snížení obsahu přírodních radionuklidů v pitné vodě určené pro veřejnou potřebu, pak upravuje zbylou problematiku poskytování dotací v některých existujících expozičních situacích, tj. postup při přijímání žádostí o poskytnutí dotace, postup při zprostředkování dotace krajem a náležitosti těchto žádostí.</w:t>
      </w:r>
    </w:p>
    <w:p w:rsidR="00A77B3E">
      <w:pPr>
        <w:pStyle w:val="8"/>
      </w:pPr>
      <w:r>
        <w:t>Navrhovaná úprava vyhlášky doplňuje a rozšiřuje podmínky, v kategorii bytů nebo rodinných domů, pro poskytnutí dotace ze státního rozpočtu na:</w:t>
      </w:r>
    </w:p>
    <w:p w:rsidR="00A77B3E">
      <w:pPr>
        <w:pStyle w:val="8"/>
      </w:pPr>
      <w:r>
        <w:t>- přijetí odůvodněného opatření, které snižuje míru ozáření z přítomnosti radonu a jeho produktů přeměny ve vnitřním ovzduší staveb pro bydlení a pobyt veřejnosti,</w:t>
      </w:r>
      <w:r>
        <w:br/>
      </w:r>
      <w:r>
        <w:t>- přijetí opatření, která snižují obsah přírodních radionuklidů v pitné vodě určené pro veřejnou potřebu.</w:t>
      </w:r>
    </w:p>
    <w:p w:rsidR="00A77B3E">
      <w:pPr>
        <w:pStyle w:val="8"/>
      </w:pPr>
      <w:r>
        <w:t>Navrhovaná úprava vychází z principu, že při posuzování odůvodněnosti státní podpory není rozhodující pouze jeden dílčí zdroj ozáření, ale celková míra ozáření osob v dané stavbě. Zvýšené ozáření ze stavebního materiálu přitom zpravidla nelze odstranit bez rozsáhlých stavebních zásahů. Snížení ozáření obyvatel však lze účinně dosáhnout snížením koncentrace radonu ve vnitřním ovzduší. Protiradonovým opatřením je tak možné kompenzovat část radiační zátěže způsobené přírodními radionuklidy ve stavebním materiálu a dosáhnout významného snížení celkového ozáření obyvatel stavby.</w:t>
      </w:r>
    </w:p>
    <w:p w:rsidR="00A77B3E">
      <w:pPr>
        <w:pStyle w:val="8"/>
      </w:pPr>
      <w:r>
        <w:t>U staveb se zvýšeným obsahem přírodních radionuklidů ve stavebním materiálu představuje ozáření z radonu pouze jednu ze složek celkové radiační zátěže obyvatel. Navrhovaná úprava proto umožňuje poskytnutí dotace na protiradonové opatření již při objemové aktivitě radonu vyšší než 500 Bq/m³, pokud je současně prokázáno zvýšené ozáření v důsledku přírodních radionuklidů ve stavebním materiálu. Snížením koncentrace radonu se v těchto případech kompenzuje část celkového ozáření, kterou nelze účinně nebo přiměřenými náklady odstranit odstraněním či výměnou samotného stavebního materiálu. Smyslem opatření je tedy snížení celkové radiační zátěže obyvatel stavby, nikoli posuzování jednotlivých zdrojů ozáření izolovaně.</w:t>
      </w:r>
    </w:p>
    <w:p w:rsidR="00A77B3E">
      <w:pPr>
        <w:pStyle w:val="8"/>
      </w:pPr>
      <w:r>
        <w:t>Úprava je zaměřená na omezený okruh starších staveb. Počet staveb, u nichž byly použity dotčené stavební materiály, lze odhadovat nejvýše v řádu jednotek až nižších desítek tisíc, přičemž podmínky pro poskytnutí dotace bude splňovat pouze část z nich. Navrhovaná změna proto nepředstavuje plošné rozšíření dotační podpory na stavby s nižšími koncentracemi radonu, ale specifické opatření zaměřené na stavby, v nichž je zvýšené ozáření obyvatel prokazatelně způsobeno kombinací radonu a přírodních radionuklidů ve stavebním materiálu.</w:t>
      </w:r>
    </w:p>
    <w:p w:rsidR="00A77B3E">
      <w:pPr>
        <w:pStyle w:val="9"/>
      </w:pPr>
      <w:r>
        <w:t>Navrhovaná úprava tím současně navazuje na dřívější přístup, který u staveb pro bydlení umožňoval zohlednit vedle objemové aktivity radonu rovněž zvýšený prostorový dávkový ekvivalent. Smyslem úpravy je zachovat možnost účinného a ekonomicky přiměřeného snížení celkového ozáření obyvatel těchto specifických staveb prostřednictvím opatření zaměřených na tu složku ozáření - radon, kterou lze technicky efektivně ovlivnit.</w:t>
      </w:r>
    </w:p>
    <w:p w:rsidR="00A77B3E">
      <w:pPr>
        <w:pStyle w:val="6"/>
      </w:pPr>
      <w:r>
        <w:t>2.</w:t>
      </w:r>
      <w:r>
        <w:t>   Zhodnocení platného právního stavu</w:t>
      </w:r>
    </w:p>
    <w:p w:rsidR="00A77B3E">
      <w:pPr>
        <w:pStyle w:val="7"/>
      </w:pPr>
      <w:r>
        <w:t>Původní znění vyhlášky se v případě bytů nebo rodinných domů vztahovalo na starší domy, kdy bylo stavební povolení vydáno do 28. února 1991. Druhou podmínkou pak bylo splnění průměru naměřených hodnot objemové aktivity radonu ze všech obytných místností a kuchyní za obvyklého užívání, který musel být vyšší než 1000 Bq/m³.</w:t>
      </w:r>
    </w:p>
    <w:p w:rsidR="00A77B3E">
      <w:pPr>
        <w:pStyle w:val="8"/>
      </w:pPr>
      <w:r>
        <w:t>Nová úprava v případě bytů nebo rodinných domů kombinuje splnění podmínky maximálního průměru prostorového dávkového ekvivalentu, který musí být vyšší než 1 mikrosv/hod a zároveň musí být současně průměr naměřených hodnot objemové aktivity radonu ze všech obytných místností a kuchyní za obvyklého užívání vyšší než 500 Bq/m³.</w:t>
      </w:r>
    </w:p>
    <w:p w:rsidR="00A77B3E">
      <w:pPr>
        <w:pStyle w:val="9"/>
      </w:pPr>
      <w:r>
        <w:t>Navrhovaná úprava obnovuje přístup zohledňující specifickou skupinu staveb, v nichž je ozáření osob způsobeno souběhem dvou zdrojů přírodního ozáření, a to radonem a jeho produkty přeměny ve vnitřním ovzduší stavby a přírodními radionuklidy obsaženými ve stavebním materiálu. Jedná se zejména o starší stavby, při jejichž výstavbě byly použity stavební materiály vyrobené ze surovin s vyšším obsahem přírodních radionuklidů. Jde o materiály vyrobené a použité před zavedením příslušných regulačních požadavků v roce 1991 vyhláškou ministerstva zdravotnictví č. 76/1991 Sb., o požadavcích na omezování ozáření z radonu a dalších přírodních radionuklidů. V těchto stavbách může být významná část celkového ozáření obyvatel způsobena gama zářením emitovaným přírodními radionuklidy obsaženými ve stavebních materiálech, přičemž další část ozáření je způsobena radonem a jeho produkty přeměny ve vnitřním ovzduší.</w:t>
      </w:r>
    </w:p>
    <w:p w:rsidR="00A77B3E">
      <w:pPr>
        <w:pStyle w:val="6"/>
      </w:pPr>
      <w:r>
        <w:t>3.</w:t>
      </w:r>
      <w:r>
        <w:t>   Zhodnocení souladu návrhu právního předpisu s ústavním pořádkem a ostatními součástmi právního řádu České republiky.</w:t>
      </w:r>
    </w:p>
    <w:p w:rsidR="00A77B3E">
      <w:pPr>
        <w:pStyle w:val="10"/>
      </w:pPr>
      <w:r>
        <w:t>Návrh právního předpisu je plně slučitelný s ústavním pořádkem a ostatními součástmi právního řádu České republiky.</w:t>
      </w:r>
    </w:p>
    <w:p w:rsidR="00A77B3E">
      <w:pPr>
        <w:pStyle w:val="6"/>
      </w:pPr>
      <w:r>
        <w:t>4.</w:t>
      </w:r>
      <w:r>
        <w:t>   Zhodnocení souladu návrhu právního předpisu se závazky vyplývajícími pro Českou republiku z jejího členství v Evropské unii.</w:t>
      </w:r>
    </w:p>
    <w:p w:rsidR="00A77B3E">
      <w:pPr>
        <w:pStyle w:val="10"/>
      </w:pPr>
      <w:r>
        <w:t>Návrh právního předpisu nezapracovává právo EU a není s ním v rozporu.</w:t>
      </w:r>
    </w:p>
    <w:p w:rsidR="00A77B3E">
      <w:pPr>
        <w:pStyle w:val="6"/>
      </w:pPr>
      <w:r>
        <w:t>5.</w:t>
      </w:r>
      <w:r>
        <w:t>   Zhodnocení souladu návrhu právního předpisu s mezinárodními smlouvami, jimiž je Česká republika vázána.</w:t>
      </w:r>
    </w:p>
    <w:p w:rsidR="00A77B3E">
      <w:pPr>
        <w:pStyle w:val="10"/>
      </w:pPr>
      <w:r>
        <w:t>Návrh právního předpisu je plně slučitelný s mezinárodními smlouvami, jimiž je Česká republika vázána.</w:t>
      </w:r>
    </w:p>
    <w:p w:rsidR="00A77B3E">
      <w:pPr>
        <w:pStyle w:val="6"/>
      </w:pPr>
      <w:r>
        <w:t>6.</w:t>
      </w:r>
      <w:r>
        <w:t>   Předpokládaný hospodářský a finanční dopad návrhu právního předpisu na státní rozpočet a ostatní veřejné rozpočty.</w:t>
      </w:r>
    </w:p>
    <w:p w:rsidR="00A77B3E">
      <w:pPr>
        <w:pStyle w:val="7"/>
      </w:pPr>
      <w:r>
        <w:t>Navrhovaná právní úprava s ohledem na svůj charakter nemá negativní hospodářský ani finanční dopad na státní rozpočet ani ostatní veřejné rozpočty. Právní úprava nebude mít ani negativní hospodářské a finanční dopady na hospodářské subjekty, včetně malých a středních podnikatelů.</w:t>
      </w:r>
    </w:p>
    <w:p w:rsidR="00A77B3E">
      <w:pPr>
        <w:pStyle w:val="9"/>
      </w:pPr>
      <w:r>
        <w:t>Podmínky pro poskytnutí dotace bude splňovat pouze omezený počet starších nemovitostí se specifickými vlastnostmi. Navrhovaná změna tak nepředstavuje plošné rozšíření dotační podpory na stavby s nižšími koncentracemi radonu, ale specifické opatření zaměřené na stavby, v nichž je zvýšené ozáření obyvatel prokazatelně způsobeno kombinací radonu a přírodních radionuklidů ve stavebním materiálu.</w:t>
      </w:r>
    </w:p>
    <w:p w:rsidR="00A77B3E">
      <w:pPr>
        <w:pStyle w:val="6"/>
      </w:pPr>
      <w:r>
        <w:t>7.</w:t>
      </w:r>
      <w:r>
        <w:t>   Odůvodnění případného návrhu, aby Poslanecká sněmovna vyslovila s návrhem právního předpisu souhlas již v prvém čtení.</w:t>
      </w:r>
    </w:p>
    <w:p w:rsidR="00A77B3E">
      <w:pPr>
        <w:pStyle w:val="10"/>
      </w:pPr>
      <w:r>
        <w:t>Navrhovaná právní úprava nepodléhá uvedenému postupu.</w:t>
      </w:r>
    </w:p>
    <w:p w:rsidR="00A77B3E">
      <w:pPr>
        <w:pStyle w:val="6"/>
      </w:pPr>
      <w:r>
        <w:t>8.</w:t>
      </w:r>
      <w:r>
        <w:t>   Odůvodnění případného návrhu, aby navrhovaná právní úprava nabyla účinnosti k jinému dni než k 1. lednu nebo k 1. červenci kalendářního roku.</w:t>
      </w:r>
    </w:p>
    <w:p w:rsidR="00A77B3E">
      <w:pPr>
        <w:pStyle w:val="10"/>
      </w:pPr>
      <w:r>
        <w:t>Navrhovaná úprava předpokládá standardní nabytí účinnosti k 1. lednu 2027.</w:t>
      </w:r>
    </w:p>
    <w:p w:rsidR="00A77B3E">
      <w:pPr>
        <w:pStyle w:val="6"/>
      </w:pPr>
      <w:r>
        <w:t>9.</w:t>
      </w:r>
      <w:r>
        <w:t>   Odůvodnění jednotlivých ustanovení návrhu právního předpisu; odůvodnění obsahuje vysvětlení jejich účelu a nezbytnosti, popis právních norem v nich obsažených a z nich vyplývajících práv a povinností.</w:t>
      </w:r>
    </w:p>
    <w:p w:rsidR="00A77B3E">
      <w:pPr>
        <w:pStyle w:val="10"/>
      </w:pPr>
      <w:r>
        <w:t>Viz zvláštní část důvodové zprávy.</w:t>
      </w:r>
    </w:p>
    <w:p w:rsidR="00A77B3E">
      <w:pPr>
        <w:pStyle w:val="6"/>
      </w:pPr>
      <w:r>
        <w:t>10.</w:t>
      </w:r>
      <w:r>
        <w:t>   Zhodnocení, zda návrh právního předpisu neobsahuje ustanovení, které by bylo svou povahou technickým předpisem podle právního předpisu upravujícího technické požadavky na výrobky, a informace o splnění oznamovací povinnosti podle tohoto právního předpisu.</w:t>
      </w:r>
    </w:p>
    <w:p w:rsidR="00A77B3E">
      <w:pPr>
        <w:pStyle w:val="10"/>
      </w:pPr>
      <w:r>
        <w:t>Návrh právního předpisu neobsahuje ustanovení, které by bylo svou povahou technickým předpisem podle právního předpisu upravujícího technické požadavky na výrobky.</w:t>
      </w:r>
    </w:p>
    <w:p w:rsidR="00A77B3E">
      <w:pPr>
        <w:pStyle w:val="6"/>
      </w:pPr>
      <w:r>
        <w:t>11.</w:t>
      </w:r>
      <w:r>
        <w:t>   Informaci o konzultaci návrhu právního předpisu s Evropskou centrální bankou a výsledku konzultace, podléhá-li návrh právního předpisu takové konzultaci.</w:t>
      </w:r>
    </w:p>
    <w:p w:rsidR="00A77B3E">
      <w:pPr>
        <w:pStyle w:val="10"/>
      </w:pPr>
      <w:r>
        <w:t>Návrh právního předpisu nepodléhá takové konzultaci.</w:t>
      </w:r>
    </w:p>
    <w:p w:rsidR="00A77B3E">
      <w:pPr>
        <w:pStyle w:val="6"/>
      </w:pPr>
      <w:r>
        <w:t>12.</w:t>
      </w:r>
      <w:r>
        <w:t>   Předpokládaný dopad návrhu právního předpisu, zejména.</w:t>
      </w:r>
    </w:p>
    <w:p w:rsidR="00A77B3E">
      <w:pPr>
        <w:pStyle w:val="11"/>
      </w:pPr>
      <w:r>
        <w:t>12.1</w:t>
      </w:r>
      <w:r>
        <w:t>   Dopad na práva a povinnosti fyzických a právnických osob.</w:t>
      </w:r>
    </w:p>
    <w:p w:rsidR="00A77B3E">
      <w:pPr>
        <w:pStyle w:val="7"/>
      </w:pPr>
      <w:r>
        <w:t>Navrhovaná právní úprava pouze doplňuje již existující podmínky a rozšiřuje stávající práva fyzických a právnických osob v této oblasti.</w:t>
      </w:r>
    </w:p>
    <w:p w:rsidR="00A77B3E">
      <w:pPr>
        <w:pStyle w:val="9"/>
      </w:pPr>
      <w:r>
        <w:t>Nejsou zaváděny žádné nové povinnosti nad rámec původní úpravy.</w:t>
      </w:r>
    </w:p>
    <w:p w:rsidR="00A77B3E">
      <w:pPr>
        <w:pStyle w:val="11"/>
      </w:pPr>
      <w:r>
        <w:t>12.2</w:t>
      </w:r>
      <w:r>
        <w:t>   Dopad na podnikatelské prostředí České republiky.</w:t>
      </w:r>
    </w:p>
    <w:p w:rsidR="00A77B3E">
      <w:pPr>
        <w:pStyle w:val="10"/>
      </w:pPr>
      <w:r>
        <w:t>Navrhovaná právní úprava nemá žádné uvedené dopady.</w:t>
      </w:r>
    </w:p>
    <w:p w:rsidR="00A77B3E">
      <w:pPr>
        <w:pStyle w:val="11"/>
      </w:pPr>
      <w:r>
        <w:t>12.3</w:t>
      </w:r>
      <w:r>
        <w:t>   Zhodnocení, zda návrhem právního předpisu není zakládána veřejná podpora.</w:t>
      </w:r>
    </w:p>
    <w:p w:rsidR="00A77B3E">
      <w:pPr>
        <w:pStyle w:val="10"/>
      </w:pPr>
      <w:r>
        <w:t>Návrhem právního předpisu není zakládána veřejná podpora.</w:t>
      </w:r>
    </w:p>
    <w:p w:rsidR="00A77B3E">
      <w:pPr>
        <w:pStyle w:val="11"/>
      </w:pPr>
      <w:r>
        <w:t>12.4</w:t>
      </w:r>
      <w:r>
        <w:t>   Sociální dopad, včetně dopadu na specifické skupiny obyvatel, především na osoby sociálně slabé, osoby se zdravotním postižením a národnostní menšiny.</w:t>
      </w:r>
    </w:p>
    <w:p w:rsidR="00A77B3E">
      <w:pPr>
        <w:pStyle w:val="10"/>
      </w:pPr>
      <w:r>
        <w:t>Navrhovaná právní úprava zvyšuje možnosti obyvatel čerpat dotace v případech nemovitostí určených k trvalému bydlení, které splňují stanovené podmínky.</w:t>
      </w:r>
    </w:p>
    <w:p w:rsidR="00A77B3E">
      <w:pPr>
        <w:pStyle w:val="11"/>
      </w:pPr>
      <w:r>
        <w:t>12.5</w:t>
      </w:r>
      <w:r>
        <w:t>   Dopad na rovnost mužů a žen, upravuje-li návrh právního předpisu postavení fyzických osob nebo se tohoto postavení dotýká.</w:t>
      </w:r>
    </w:p>
    <w:p w:rsidR="00A77B3E">
      <w:pPr>
        <w:pStyle w:val="10"/>
      </w:pPr>
      <w:r>
        <w:t>Navrhovaná právní úprava nemá žádné uvedené dopady.</w:t>
      </w:r>
    </w:p>
    <w:p w:rsidR="00A77B3E">
      <w:pPr>
        <w:pStyle w:val="11"/>
      </w:pPr>
      <w:r>
        <w:t>12.6</w:t>
      </w:r>
      <w:r>
        <w:t>   Dopad na životní prostředí.</w:t>
      </w:r>
    </w:p>
    <w:p w:rsidR="00A77B3E">
      <w:pPr>
        <w:pStyle w:val="10"/>
      </w:pPr>
      <w:r>
        <w:t>Navrhovaná právní úprava má pozitivní vliv v oblasti životního prostředí a ochrany zdraví, neboť zvyšuje možnosti jednotlivých osob čerpat dotace v případech nemovitostí určených k trvalému bydlení, které splňují stanovené normy objemové aktivity radonu. Navrhovaná opatření mají sloužit ke snížení míry ozáření z přítomnosti radonu ve vnitřním ovzduší staveb pro bydlení a pobyt veřejnosti. Zároveň navrhovaná opatření mají snižovat obsah přírodních radionuklidů v pitné vodě určené pro veřejnou potřebu.</w:t>
      </w:r>
    </w:p>
    <w:p w:rsidR="00A77B3E">
      <w:pPr>
        <w:pStyle w:val="11"/>
      </w:pPr>
      <w:r>
        <w:t>12.7</w:t>
      </w:r>
      <w:r>
        <w:t>   Dopad na ochranu práv dětí.</w:t>
      </w:r>
    </w:p>
    <w:p w:rsidR="00A77B3E">
      <w:pPr>
        <w:pStyle w:val="10"/>
      </w:pPr>
      <w:r>
        <w:t>Navrhovaná právní úprava zvyšuje ochranu práv dětí, především v oblasti ochrany zdraví, neboť předmětná právní úprava slouží k zlepšení podmínek trvalého bydlení.</w:t>
      </w:r>
    </w:p>
    <w:p w:rsidR="00A77B3E">
      <w:pPr>
        <w:pStyle w:val="11"/>
      </w:pPr>
      <w:r>
        <w:t>12.8</w:t>
      </w:r>
      <w:r>
        <w:t>   Dopad na bezpečnost nebo obranu státu.</w:t>
      </w:r>
    </w:p>
    <w:p w:rsidR="00A77B3E">
      <w:pPr>
        <w:pStyle w:val="10"/>
      </w:pPr>
      <w:r>
        <w:t>Navrhovaná právní úprava nemá žádné uvedené dopady.</w:t>
      </w:r>
    </w:p>
    <w:p w:rsidR="00A77B3E">
      <w:pPr>
        <w:pStyle w:val="11"/>
      </w:pPr>
      <w:r>
        <w:t>12.9</w:t>
      </w:r>
      <w:r>
        <w:t>   Dopad ve vztahu k ochraně soukromí a osobních údajů.</w:t>
      </w:r>
    </w:p>
    <w:p w:rsidR="00A77B3E">
      <w:pPr>
        <w:pStyle w:val="10"/>
      </w:pPr>
      <w:r>
        <w:t>Navrhovaná právní úprava nemá žádné uvedené dopady.</w:t>
      </w:r>
    </w:p>
    <w:p w:rsidR="00A77B3E">
      <w:pPr>
        <w:pStyle w:val="6"/>
      </w:pPr>
      <w:r>
        <w:t>13.</w:t>
      </w:r>
      <w:r>
        <w:t>   Zhodnocení korupčních rizik návrhu právního předpisu.</w:t>
      </w:r>
    </w:p>
    <w:p w:rsidR="00A77B3E">
      <w:pPr>
        <w:pStyle w:val="10"/>
      </w:pPr>
      <w:r>
        <w:t>Navrhovaná právní úprava nemá žádné uvedené dopady.</w:t>
      </w:r>
    </w:p>
    <w:p w:rsidR="00A77B3E">
      <w:pPr>
        <w:pStyle w:val="6"/>
      </w:pPr>
      <w:r>
        <w:t>14.</w:t>
      </w:r>
      <w:r>
        <w:t>   Odůvodnění případné navrhované odchylky v postupu projednání návrhu právního předpisu.</w:t>
      </w:r>
    </w:p>
    <w:p w:rsidR="00A77B3E">
      <w:pPr>
        <w:pStyle w:val="10"/>
      </w:pPr>
      <w:r>
        <w:t>Navrhovaná právní úprava nevyžaduje navržení případných odchylek v postupu projednání.</w:t>
      </w:r>
    </w:p>
    <w:p w:rsidR="00A77B3E">
      <w:pPr>
        <w:pStyle w:val="6"/>
      </w:pPr>
      <w:r>
        <w:t>15.</w:t>
      </w:r>
      <w:r>
        <w:t>   Informace dle zákona o regulaci lobbování</w:t>
      </w:r>
    </w:p>
    <w:p w:rsidR="00A77B3E">
      <w:pPr>
        <w:pStyle w:val="10"/>
      </w:pPr>
      <w:r>
        <w:t>V průběhu přípravy návrhu právního předpisu nedošlo k žádným jednáním spadajícím do předmětu zákona o regulaci lobbování.</w:t>
      </w:r>
    </w:p>
    <w:p w:rsidR="00A77B3E">
      <w:pPr>
        <w:pStyle w:val="1"/>
      </w:pPr>
    </w:p>
    <w:p w:rsidR="00A77B3E">
      <w:pPr>
        <w:pStyle w:val="5"/>
      </w:pPr>
      <w:r>
        <w:t>II. Zvláštní část</w:t>
      </w:r>
    </w:p>
    <w:p w:rsidR="00A77B3E">
      <w:pPr>
        <w:pStyle w:val="7"/>
      </w:pPr>
      <w:r>
        <w:rPr>
          <w:b/>
          <w:bCs/>
        </w:rPr>
        <w:t>K § 2 odst. 1</w:t>
      </w:r>
    </w:p>
    <w:p w:rsidR="00A77B3E">
      <w:pPr>
        <w:pStyle w:val="9"/>
      </w:pPr>
      <w:r>
        <w:t>Pro dotčenou skupinu staveb je nově umožněn přístup k dotaci i při nižších hodnotách objemové aktivity radonu, pokud je současně prokázáno zvýšené ozáření v důsledku přírodních radionuklidů obsažených ve stavebním materiálu. Kritéria jsou nastavena tak, aby kombinace obou složek ozáření představovala radiační zátěž srovnatelnou se situací, při níž je rozhodujícím zdrojem pouze radon s objemovou aktivitou 1 000 Bq/m³. V souvislosti s vložením nového písmene b) se dosavadní písmena b) a c) mění na písmena c) a d) a rovněž se upravuje odkaz na dosavadní písmeno b).</w:t>
      </w:r>
    </w:p>
    <w:p w:rsidR="00A77B3E">
      <w:pPr>
        <w:pStyle w:val="1"/>
      </w:pPr>
    </w:p>
    <w:sectPr>
      <w:headerReference w:type="even" r:id="rId4"/>
      <w:headerReference w:type="default" r:id="rId5"/>
      <w:pgSz w:w="12240" w:h="15840"/>
      <w:pgMar w:top="1417" w:right="1417" w:bottom="1417" w:left="1417" w:header="400" w:footer="708" w:gutter="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9406"/>
    </w:tblGrid>
    <w:tr>
      <w:tblPrEx>
        <w:tblW w:w="5000" w:type="pct"/>
      </w:tblPrEx>
      <w:tc>
        <w:tcPr/>
        <w:p>
          <w:pPr>
            <w:pStyle w:val="HlavickaZlutyText"/>
            <w:jc w:val="center"/>
          </w:pPr>
        </w:p>
      </w:tc>
    </w:tr>
    <w:tr>
      <w:tblPrEx>
        <w:tblW w:w="5000" w:type="pct"/>
      </w:tblPrEx>
      <w:tc>
        <w:tcPr/>
        <w:p>
          <w:pPr>
            <w:pStyle w:val="Hlavicka"/>
            <w:jc w:val="center"/>
          </w:pPr>
        </w:p>
      </w:tc>
    </w:tr>
  </w:tbl>
  <w:p>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9406"/>
    </w:tblGrid>
    <w:tr>
      <w:tblPrEx>
        <w:tblW w:w="5000" w:type="pct"/>
      </w:tblPrEx>
      <w:tc>
        <w:tcPr/>
        <w:p>
          <w:pPr>
            <w:pStyle w:val="HlavickaZlutyText"/>
            <w:jc w:val="center"/>
          </w:pPr>
        </w:p>
      </w:tc>
    </w:tr>
    <w:tr>
      <w:tblPrEx>
        <w:tblW w:w="5000" w:type="pct"/>
      </w:tblPrEx>
      <w:tc>
        <w:tcPr/>
        <w:p>
          <w:pPr>
            <w:pStyle w:val="Hlavicka"/>
            <w:jc w:val="left"/>
          </w:pPr>
        </w:p>
      </w:tc>
    </w:tr>
  </w:tbl>
  <w:p>
    <w:pPr>
      <w:pStyle w:val="Hlavic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evenAndOddHeaders/>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lavicka">
    <w:name w:val="Hlavicka"/>
    <w:rPr>
      <w:i/>
      <w:sz w:val="20"/>
    </w:rPr>
  </w:style>
  <w:style w:type="paragraph" w:customStyle="1" w:styleId="HlavickaZlutyText">
    <w:name w:val="HlavickaZlutyText"/>
    <w:rPr>
      <w:i w:val="0"/>
      <w:sz w:val="18"/>
    </w:rPr>
  </w:style>
  <w:style w:type="paragraph" w:customStyle="1" w:styleId="Variantastart">
    <w:name w:val="Varianta_start"/>
    <w:pPr>
      <w:pBdr>
        <w:top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Variantakonec">
    <w:name w:val="Varianta_konec"/>
    <w:pPr>
      <w:pBdr>
        <w:bottom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Ucinnoststart">
    <w:name w:val="Ucinnost_start"/>
    <w:pPr>
      <w:pBdr>
        <w:top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Ucinnostkonec">
    <w:name w:val="Ucinnost_konec"/>
    <w:pPr>
      <w:pBdr>
        <w:bottom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Celex">
    <w:name w:val="Celex"/>
    <w:pPr>
      <w:spacing w:before="120" w:after="120"/>
      <w:jc w:val="left"/>
    </w:pPr>
    <w:rPr>
      <w:rFonts w:ascii="Times New Roman" w:eastAsia="Times New Roman" w:hAnsi="Times New Roman" w:cs="Times New Roman"/>
      <w:i/>
      <w:sz w:val="20"/>
    </w:rPr>
  </w:style>
  <w:style w:type="paragraph" w:customStyle="1" w:styleId="Pripominkystart">
    <w:name w:val="Pripominky_start"/>
    <w:pPr>
      <w:pBdr>
        <w:top w:val="single" w:sz="8" w:space="0" w:color="87CEFA"/>
      </w:pBdr>
      <w:spacing w:before="0" w:after="100"/>
      <w:jc w:val="right"/>
    </w:pPr>
    <w:rPr>
      <w:rFonts w:ascii="Times New Roman" w:eastAsia="Times New Roman" w:hAnsi="Times New Roman" w:cs="Times New Roman"/>
      <w:b/>
      <w:i/>
      <w:color w:val="87CEFA"/>
      <w:sz w:val="20"/>
    </w:rPr>
  </w:style>
  <w:style w:type="paragraph" w:customStyle="1" w:styleId="1">
    <w:name w:val="1"/>
    <w:pPr>
      <w:spacing w:before="11" w:after="0"/>
      <w:ind w:right="0"/>
      <w:jc w:val="left"/>
    </w:pPr>
    <w:rPr>
      <w:rFonts w:ascii="Times New Roman" w:eastAsia="Times New Roman" w:hAnsi="Times New Roman" w:cs="Times New Roman"/>
      <w:sz w:val="0"/>
    </w:rPr>
  </w:style>
  <w:style w:type="paragraph" w:customStyle="1" w:styleId="2">
    <w:name w:val="2"/>
    <w:pPr>
      <w:spacing w:before="57" w:after="0"/>
      <w:ind w:right="227"/>
      <w:jc w:val="right"/>
    </w:pPr>
    <w:rPr>
      <w:rFonts w:ascii="Times New Roman" w:eastAsia="Times New Roman" w:hAnsi="Times New Roman" w:cs="Times New Roman"/>
      <w:b/>
      <w:sz w:val="40"/>
    </w:rPr>
  </w:style>
  <w:style w:type="paragraph" w:customStyle="1" w:styleId="3">
    <w:name w:val="3"/>
    <w:pPr>
      <w:spacing w:before="0" w:after="340"/>
      <w:ind w:left="680" w:right="680"/>
      <w:jc w:val="center"/>
    </w:pPr>
    <w:rPr>
      <w:rFonts w:ascii="Times New Roman" w:eastAsia="Times New Roman" w:hAnsi="Times New Roman" w:cs="Times New Roman"/>
      <w:b/>
      <w:sz w:val="44"/>
    </w:rPr>
  </w:style>
  <w:style w:type="paragraph" w:customStyle="1" w:styleId="4">
    <w:name w:val="4"/>
    <w:pPr>
      <w:spacing w:before="340" w:after="113"/>
      <w:ind w:left="850" w:right="850"/>
      <w:jc w:val="center"/>
    </w:pPr>
    <w:rPr>
      <w:rFonts w:ascii="Times New Roman" w:eastAsia="Times New Roman" w:hAnsi="Times New Roman" w:cs="Times New Roman"/>
      <w:b/>
      <w:sz w:val="34"/>
    </w:rPr>
  </w:style>
  <w:style w:type="paragraph" w:customStyle="1" w:styleId="5">
    <w:name w:val="5"/>
    <w:pPr>
      <w:spacing w:before="510" w:after="0"/>
      <w:ind w:left="850" w:right="850"/>
      <w:jc w:val="center"/>
    </w:pPr>
    <w:rPr>
      <w:rFonts w:ascii="Times New Roman" w:eastAsia="Times New Roman" w:hAnsi="Times New Roman" w:cs="Times New Roman"/>
      <w:b/>
      <w:sz w:val="32"/>
    </w:rPr>
  </w:style>
  <w:style w:type="paragraph" w:customStyle="1" w:styleId="6">
    <w:name w:val="6"/>
    <w:pPr>
      <w:overflowPunct/>
      <w:spacing w:before="283" w:after="113"/>
      <w:ind w:left="340" w:right="0" w:hanging="340"/>
      <w:jc w:val="left"/>
    </w:pPr>
    <w:rPr>
      <w:rFonts w:ascii="Times New Roman" w:eastAsia="Times New Roman" w:hAnsi="Times New Roman" w:cs="Times New Roman"/>
      <w:b/>
      <w:sz w:val="26"/>
    </w:rPr>
  </w:style>
  <w:style w:type="paragraph" w:customStyle="1" w:styleId="Varianta6start">
    <w:name w:val="Varianta_6_start"/>
    <w:pPr>
      <w:pBdr>
        <w:top w:val="single" w:sz="8" w:space="0" w:color="800080"/>
      </w:pBdr>
      <w:spacing w:before="0" w:after="100"/>
      <w:ind w:left="340"/>
      <w:jc w:val="left"/>
    </w:pPr>
    <w:rPr>
      <w:rFonts w:ascii="Times New Roman" w:eastAsia="Times New Roman" w:hAnsi="Times New Roman" w:cs="Times New Roman"/>
      <w:b/>
      <w:i/>
      <w:color w:val="800080"/>
      <w:sz w:val="20"/>
    </w:rPr>
  </w:style>
  <w:style w:type="paragraph" w:customStyle="1" w:styleId="Varianta6konec">
    <w:name w:val="Varianta_6_konec"/>
    <w:pPr>
      <w:pBdr>
        <w:bottom w:val="single" w:sz="8" w:space="0" w:color="800080"/>
      </w:pBdr>
      <w:spacing w:before="0" w:after="100"/>
      <w:ind w:left="340"/>
      <w:jc w:val="left"/>
    </w:pPr>
    <w:rPr>
      <w:rFonts w:ascii="Times New Roman" w:eastAsia="Times New Roman" w:hAnsi="Times New Roman" w:cs="Times New Roman"/>
      <w:b/>
      <w:i/>
      <w:color w:val="800080"/>
      <w:sz w:val="20"/>
    </w:rPr>
  </w:style>
  <w:style w:type="paragraph" w:customStyle="1" w:styleId="Ucinnost6start">
    <w:name w:val="Ucinnost_6_start"/>
    <w:pPr>
      <w:pBdr>
        <w:top w:val="single" w:sz="8" w:space="0" w:color="8B0000"/>
      </w:pBdr>
      <w:spacing w:before="0" w:after="100"/>
      <w:ind w:left="340"/>
      <w:jc w:val="left"/>
    </w:pPr>
    <w:rPr>
      <w:rFonts w:ascii="Times New Roman" w:eastAsia="Times New Roman" w:hAnsi="Times New Roman" w:cs="Times New Roman"/>
      <w:b/>
      <w:i/>
      <w:color w:val="8B0000"/>
      <w:sz w:val="20"/>
    </w:rPr>
  </w:style>
  <w:style w:type="paragraph" w:customStyle="1" w:styleId="Ucinnost6konec">
    <w:name w:val="Ucinnost_6_konec"/>
    <w:pPr>
      <w:pBdr>
        <w:bottom w:val="single" w:sz="8" w:space="0" w:color="8B0000"/>
      </w:pBdr>
      <w:spacing w:before="0" w:after="100"/>
      <w:ind w:left="340"/>
      <w:jc w:val="left"/>
    </w:pPr>
    <w:rPr>
      <w:rFonts w:ascii="Times New Roman" w:eastAsia="Times New Roman" w:hAnsi="Times New Roman" w:cs="Times New Roman"/>
      <w:b/>
      <w:i/>
      <w:color w:val="8B0000"/>
      <w:sz w:val="20"/>
    </w:rPr>
  </w:style>
  <w:style w:type="paragraph" w:customStyle="1" w:styleId="Pripominky6start">
    <w:name w:val="Pripominky_6_start"/>
    <w:pPr>
      <w:pBdr>
        <w:top w:val="single" w:sz="8" w:space="0" w:color="87CEFA"/>
      </w:pBdr>
      <w:spacing w:before="0" w:after="100"/>
      <w:ind w:left="340"/>
      <w:jc w:val="right"/>
    </w:pPr>
    <w:rPr>
      <w:rFonts w:ascii="Times New Roman" w:eastAsia="Times New Roman" w:hAnsi="Times New Roman" w:cs="Times New Roman"/>
      <w:b/>
      <w:i/>
      <w:color w:val="87CEFA"/>
      <w:sz w:val="20"/>
    </w:rPr>
  </w:style>
  <w:style w:type="paragraph" w:customStyle="1" w:styleId="7">
    <w:name w:val="7"/>
    <w:pPr>
      <w:spacing w:before="0" w:after="113"/>
      <w:ind w:right="0"/>
      <w:jc w:val="both"/>
    </w:pPr>
    <w:rPr>
      <w:rFonts w:ascii="Times New Roman" w:eastAsia="Times New Roman" w:hAnsi="Times New Roman" w:cs="Times New Roman"/>
      <w:sz w:val="24"/>
    </w:rPr>
  </w:style>
  <w:style w:type="paragraph" w:customStyle="1" w:styleId="8">
    <w:name w:val="8"/>
    <w:pPr>
      <w:spacing w:before="113" w:after="113"/>
      <w:ind w:right="0"/>
      <w:jc w:val="both"/>
    </w:pPr>
    <w:rPr>
      <w:rFonts w:ascii="Times New Roman" w:eastAsia="Times New Roman" w:hAnsi="Times New Roman" w:cs="Times New Roman"/>
      <w:sz w:val="24"/>
    </w:rPr>
  </w:style>
  <w:style w:type="paragraph" w:customStyle="1" w:styleId="9">
    <w:name w:val="9"/>
    <w:pPr>
      <w:spacing w:before="113" w:after="57"/>
      <w:ind w:right="0"/>
      <w:jc w:val="both"/>
    </w:pPr>
    <w:rPr>
      <w:rFonts w:ascii="Times New Roman" w:eastAsia="Times New Roman" w:hAnsi="Times New Roman" w:cs="Times New Roman"/>
      <w:sz w:val="24"/>
    </w:rPr>
  </w:style>
  <w:style w:type="paragraph" w:customStyle="1" w:styleId="10">
    <w:name w:val="10"/>
    <w:pPr>
      <w:spacing w:before="0" w:after="57"/>
      <w:ind w:right="0"/>
      <w:jc w:val="both"/>
    </w:pPr>
    <w:rPr>
      <w:rFonts w:ascii="Times New Roman" w:eastAsia="Times New Roman" w:hAnsi="Times New Roman" w:cs="Times New Roman"/>
      <w:sz w:val="24"/>
    </w:rPr>
  </w:style>
  <w:style w:type="paragraph" w:customStyle="1" w:styleId="11">
    <w:name w:val="11"/>
    <w:pPr>
      <w:overflowPunct/>
      <w:spacing w:before="170" w:after="57"/>
      <w:ind w:left="510" w:right="0" w:hanging="510"/>
      <w:jc w:val="left"/>
    </w:pPr>
    <w:rPr>
      <w:rFonts w:ascii="Times New Roman" w:eastAsia="Times New Roman" w:hAnsi="Times New Roman" w:cs="Times New Roman"/>
      <w:b/>
      <w:sz w:val="26"/>
    </w:rPr>
  </w:style>
  <w:style w:type="paragraph" w:customStyle="1" w:styleId="Varianta11start">
    <w:name w:val="Varianta_11_start"/>
    <w:pPr>
      <w:pBdr>
        <w:top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Varianta11konec">
    <w:name w:val="Varianta_11_konec"/>
    <w:pPr>
      <w:pBdr>
        <w:bottom w:val="single" w:sz="8" w:space="0" w:color="800080"/>
      </w:pBdr>
      <w:spacing w:before="0" w:after="100"/>
      <w:ind w:left="510"/>
      <w:jc w:val="left"/>
    </w:pPr>
    <w:rPr>
      <w:rFonts w:ascii="Times New Roman" w:eastAsia="Times New Roman" w:hAnsi="Times New Roman" w:cs="Times New Roman"/>
      <w:b/>
      <w:i/>
      <w:color w:val="800080"/>
      <w:sz w:val="20"/>
    </w:rPr>
  </w:style>
  <w:style w:type="paragraph" w:customStyle="1" w:styleId="Ucinnost11start">
    <w:name w:val="Ucinnost_11_start"/>
    <w:pPr>
      <w:pBdr>
        <w:top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Ucinnost11konec">
    <w:name w:val="Ucinnost_11_konec"/>
    <w:pPr>
      <w:pBdr>
        <w:bottom w:val="single" w:sz="8" w:space="0" w:color="8B0000"/>
      </w:pBdr>
      <w:spacing w:before="0" w:after="100"/>
      <w:ind w:left="510"/>
      <w:jc w:val="left"/>
    </w:pPr>
    <w:rPr>
      <w:rFonts w:ascii="Times New Roman" w:eastAsia="Times New Roman" w:hAnsi="Times New Roman" w:cs="Times New Roman"/>
      <w:b/>
      <w:i/>
      <w:color w:val="8B0000"/>
      <w:sz w:val="20"/>
    </w:rPr>
  </w:style>
  <w:style w:type="paragraph" w:customStyle="1" w:styleId="Pripominky11start">
    <w:name w:val="Pripominky_11_start"/>
    <w:pPr>
      <w:pBdr>
        <w:top w:val="single" w:sz="8" w:space="0" w:color="87CEFA"/>
      </w:pBdr>
      <w:spacing w:before="0" w:after="100"/>
      <w:ind w:left="510"/>
      <w:jc w:val="right"/>
    </w:pPr>
    <w:rPr>
      <w:rFonts w:ascii="Times New Roman" w:eastAsia="Times New Roman" w:hAnsi="Times New Roman" w:cs="Times New Roman"/>
      <w:b/>
      <w:i/>
      <w:color w:val="87CEF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Důvodová zpráva</dc:title>
  <dc:creator>e-Legislativa</dc:creator>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relationId">
    <vt:lpwstr>50620399-27b7-4865-85f8-f58c619d5006:744</vt:lpwstr>
  </property>
  <property fmtid="{D5CDD505-2E9C-101B-9397-08002B2CF9AE}" pid="3" name="GenerovaneZEditoru">
    <vt:lpwstr>true</vt:lpwstr>
  </property>
  <property fmtid="{D5CDD505-2E9C-101B-9397-08002B2CF9AE}" pid="4" name="IdPodprostoru">
    <vt:lpwstr/>
  </property>
  <property fmtid="{D5CDD505-2E9C-101B-9397-08002B2CF9AE}" pid="5" name="JeUzavrena">
    <vt:lpwstr/>
  </property>
  <property fmtid="{D5CDD505-2E9C-101B-9397-08002B2CF9AE}" pid="6" name="PozadavekId">
    <vt:lpwstr>d06c82e2-40da-48e0-97fb-dd7942b74f8d</vt:lpwstr>
  </property>
  <property fmtid="{D5CDD505-2E9C-101B-9397-08002B2CF9AE}" pid="7" name="Verze aplikace">
    <vt:lpwstr>v1.0-07.35.HF6</vt:lpwstr>
  </property>
  <property fmtid="{D5CDD505-2E9C-101B-9397-08002B2CF9AE}" pid="8" name="VrstvaNavrhuId">
    <vt:lpwstr/>
  </property>
  <property fmtid="{D5CDD505-2E9C-101B-9397-08002B2CF9AE}" pid="9" name="VrstvaObsahuId">
    <vt:lpwstr/>
  </property>
</Properties>
</file>